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pPr w:bottomFromText="0" w:horzAnchor="margin" w:leftFromText="180" w:rightFromText="180" w:tblpX="0" w:tblpXSpec="" w:tblpY="1" w:tblpYSpec="" w:topFromText="0" w:vertAnchor="margin"/>
        <w:tblW w:w="9070" w:type="dxa"/>
        <w:jc w:val="left"/>
        <w:tblInd w:w="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4"/>
        <w:gridCol w:w="6475"/>
      </w:tblGrid>
      <w:tr>
        <w:trPr/>
        <w:tc>
          <w:tcPr>
            <w:tcW w:w="2594" w:type="dxa"/>
            <w:tcBorders/>
            <w:shd w:fill="auto" w:val="clear"/>
          </w:tcPr>
          <w:p>
            <w:pPr>
              <w:pStyle w:val="Normal"/>
              <w:rPr>
                <w:sz w:val="28"/>
                <w:sz w:val="28"/>
                <w:szCs w:val="28"/>
                <w:color w:val="00000A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Normal"/>
              <w:rPr>
                <w:sz w:val="28"/>
                <w:sz w:val="28"/>
                <w:szCs w:val="28"/>
                <w:color w:val="00000A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/>
          </w:p>
          <w:p>
            <w:pPr>
              <w:pStyle w:val="Normal"/>
              <w:rPr>
                <w:sz w:val="28"/>
                <w:sz w:val="28"/>
                <w:szCs w:val="28"/>
                <w:color w:val="00000A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/>
          </w:p>
          <w:p>
            <w:pPr>
              <w:pStyle w:val="Normal"/>
              <w:numPr>
                <w:ilvl w:val="0"/>
                <w:numId w:val="0"/>
              </w:numPr>
              <w:outlineLvl w:val="1"/>
              <w:rPr>
                <w:sz w:val="24"/>
                <w:sz w:val="24"/>
                <w:szCs w:val="24"/>
                <w:color w:val="00000A"/>
              </w:rPr>
            </w:pPr>
            <w:r>
              <w:rPr/>
            </w:r>
            <w:r/>
          </w:p>
        </w:tc>
        <w:tc>
          <w:tcPr>
            <w:tcW w:w="6475" w:type="dxa"/>
            <w:tcBorders/>
            <w:shd w:fill="auto" w:val="clear"/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color w:val="00000A"/>
              </w:rPr>
            </w:pPr>
            <w:r>
              <w:rPr>
                <w:sz w:val="28"/>
                <w:szCs w:val="28"/>
              </w:rPr>
              <w:t>ПРИЛОЖЕНИЕ 3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  <w:color w:val="00000A"/>
              </w:rPr>
            </w:pPr>
            <w:r>
              <w:rPr>
                <w:sz w:val="28"/>
                <w:szCs w:val="28"/>
              </w:rPr>
              <w:t xml:space="preserve">к Порядку предоставления в 2015 –  2017 годах субсидий сельскохозяйственным товаропроизводителям,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  <w:color w:val="00000A"/>
              </w:rPr>
            </w:pPr>
            <w:r>
              <w:rPr>
                <w:sz w:val="28"/>
                <w:szCs w:val="28"/>
              </w:rPr>
              <w:t xml:space="preserve">организациям потребительской кооперации и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  <w:color w:val="00000A"/>
              </w:rPr>
            </w:pPr>
            <w:r>
              <w:rPr>
                <w:sz w:val="28"/>
                <w:szCs w:val="28"/>
              </w:rPr>
              <w:t xml:space="preserve">организациям агропромышленного комплекса,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  <w:color w:val="00000A"/>
              </w:rPr>
            </w:pPr>
            <w:r>
              <w:rPr>
                <w:sz w:val="28"/>
                <w:szCs w:val="28"/>
              </w:rPr>
              <w:t>осуществляющим свою деятельность на территории Самарской области, в целях возмещения части процентной ставки по краткосрочным кредитам (займам)</w:t>
            </w:r>
            <w:r/>
          </w:p>
          <w:p>
            <w:pPr>
              <w:pStyle w:val="Normal"/>
              <w:numPr>
                <w:ilvl w:val="0"/>
                <w:numId w:val="0"/>
              </w:numPr>
              <w:jc w:val="right"/>
              <w:outlineLvl w:val="1"/>
              <w:rPr>
                <w:sz w:val="28"/>
                <w:sz w:val="28"/>
                <w:szCs w:val="28"/>
                <w:color w:val="00000A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pStyle w:val="Normal"/>
        <w:jc w:val="center"/>
        <w:rPr>
          <w:sz w:val="28"/>
          <w:sz w:val="28"/>
          <w:szCs w:val="28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Перечень документов, </w:t>
      </w:r>
      <w:r/>
    </w:p>
    <w:p>
      <w:pPr>
        <w:pStyle w:val="Normal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>подтверждающих целевое использование краткосрочных кредитов (займов), полученных сельскохозяйственными товаропроизводителями, организациями потребительской кооперации и организациями агропромышленного комплекса, осуществляющими свою деятельность на территории Самарской области *</w:t>
      </w:r>
      <w:r/>
    </w:p>
    <w:p>
      <w:pPr>
        <w:pStyle w:val="Normal"/>
        <w:jc w:val="center"/>
        <w:rPr>
          <w:sz w:val="28"/>
          <w:sz w:val="28"/>
          <w:szCs w:val="28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1. Документы, подтверждающие целевое использование средств, полученных на закупку горюче-смазочных материалов, запасных частей и материалов для ремонта сельскохозяйственной техники, оборудования, грузовых автомобилей и тракторов, машин, установок и аппаратов дождевальных и поливных, насосных станций, минеральных удобрений, средств защиты растений, кормов, ветеринарных препаратов, семян, электроэнергии, используемой для орошения, и других материальных ресурсов для проведения сезонных работ согласно перечню, утверждаемому</w:t>
      </w:r>
      <w:bookmarkStart w:id="0" w:name="_GoBack"/>
      <w:bookmarkEnd w:id="0"/>
      <w:r>
        <w:rPr>
          <w:sz w:val="28"/>
          <w:szCs w:val="28"/>
        </w:rPr>
        <w:t xml:space="preserve"> в соответствии с действующим законодательством Министерством сельского хозяйства Российской Федерации, а также на приобретение молодняка сельскохозяйственных животных, кормов,  ветеринарных препаратов, отечественного сельскохозяйственного сырья для первичной и промышленной переработки, транспортных услуг, связанных с производством молочной продукции (далее – товары, услуги): </w:t>
      </w:r>
      <w:r/>
    </w:p>
    <w:p>
      <w:pPr>
        <w:sectPr>
          <w:headerReference w:type="default" r:id="rId2"/>
          <w:type w:val="nextPage"/>
          <w:pgSz w:w="11906" w:h="16838"/>
          <w:pgMar w:left="1418" w:right="1418" w:header="680" w:top="1077" w:footer="0" w:bottom="1134" w:gutter="0"/>
          <w:pgNumType w:fmt="decimal"/>
          <w:formProt w:val="false"/>
          <w:titlePg/>
          <w:textDirection w:val="lrTb"/>
          <w:docGrid w:type="default" w:linePitch="360" w:charSpace="4294961151"/>
        </w:sectPr>
        <w:pStyle w:val="Normal"/>
        <w:spacing w:lineRule="auto" w:line="360"/>
        <w:ind w:firstLine="539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а) копии договоров на закупку (приобретение) товаров и услуг, заверенные производителем;</w:t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б) копии платежных поручений по оплате товаров и услуг, произведенной в течение срока действия кредитного договора (договора займа), заверенные производителем и кредитной организацией (кредитным кооперативом), а также копии платежных поручений или товарных чеков, кассовых чеков или приходных кассовых ордеров, заверенные производителем (при приобретении в организациях, в розничной торговле или у индивидуальных предпринимателей); </w:t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в) копии товарных накладных или реестр товарных накладных, заверенные производителем.</w:t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2. Документы, подтверждающие целевое использование средств, полученных в иностранной валюте на приобретение товаров: </w:t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а) копия контракта на приобретение товара, заверенная производителем;</w:t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б) копии платежных поручений и (или) документов, подтверждающих открытие аккредитива на оплату приобретенного товара, заверенные производителем и кредитной организацией (кредитным кооперативом);</w:t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в) копии свифтовых сообщений о подтверждении перевода валюты, заверенные производителем и кредитной организацией (кредитным кооперативом);</w:t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г) копия грузовой таможенной декларации, заверенная производителем (представляется после оформления в установленном порядке грузовой таможенной декларации или декларации на товары в соответствии с контрактом на приобретение товара);</w:t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д) копия паспорта импортной сделки, заверенная производителем;</w:t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е) справка о состоянии паспорта импортной сделки, заверенная производителем.</w:t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3. Документы, подтверждающие целевое использование средств, полученных на уплату страховых взносов при страховании сельскохозяйственной продукции и сельскохозяйственных животных:</w:t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копия договора страхования, заверенная производителем;</w:t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копии платежных поручений на уплату страховых взносов, заверенные производителем и кредитной организацией  (кредитным кооперативом).</w:t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spacing w:lineRule="auto" w:line="360"/>
        <w:ind w:firstLine="539"/>
        <w:jc w:val="both"/>
        <w:rPr>
          <w:sz w:val="28"/>
          <w:sz w:val="28"/>
          <w:szCs w:val="28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spacing w:lineRule="auto" w:line="36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</w:t>
      </w:r>
      <w:r/>
    </w:p>
    <w:p>
      <w:pPr>
        <w:pStyle w:val="Normal"/>
        <w:ind w:firstLine="708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* В случае получения кредита (займа) в иностранной валюте и использования его в рублях перечень документов, подтверждающих целевое использование кредита (займа), соответствует перечню документов, установленному для подтверждения целевого использования кредита (займа), полученного в рублях.</w:t>
      </w:r>
      <w:r/>
    </w:p>
    <w:p>
      <w:pPr>
        <w:pStyle w:val="Style21"/>
      </w:pPr>
      <w:r>
        <w:rPr/>
      </w:r>
      <w:r/>
    </w:p>
    <w:sectPr>
      <w:headerReference w:type="default" r:id="rId3"/>
      <w:headerReference w:type="first" r:id="rId4"/>
      <w:type w:val="nextPage"/>
      <w:pgSz w:w="11906" w:h="16838"/>
      <w:pgMar w:left="1418" w:right="1418" w:header="680" w:top="1077" w:footer="0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2">
              <wp:simplePos x="0" y="0"/>
              <wp:positionH relativeFrom="column">
                <wp:posOffset>2841625</wp:posOffset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1"/>
                          </w:pPr>
                          <w:r>
                            <w:rPr/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roked="f" strokeweight="0pt" style="position:absolute;width:6.05pt;height:13.8pt;mso-wrap-distance-left:0pt;mso-wrap-distance-right:0pt;mso-wrap-distance-top:0pt;mso-wrap-distance-bottom:0pt;margin-top:0.05pt;margin-left:223.75pt">
              <v:fill opacity="0f"/>
              <v:textbox inset="0in,0in,0in,0in">
                <w:txbxContent>
                  <w:p>
                    <w:pPr>
                      <w:pStyle w:val="Style21"/>
                    </w:pPr>
                    <w:r>
                      <w:rPr/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/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2">
              <wp:simplePos x="0" y="0"/>
              <wp:positionH relativeFrom="column">
                <wp:posOffset>2841625</wp:posOffset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1"/>
                          </w:pPr>
                          <w:r>
                            <w:rPr/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roked="f" strokeweight="0pt" style="position:absolute;width:6.05pt;height:13.8pt;mso-wrap-distance-left:0pt;mso-wrap-distance-right:0pt;mso-wrap-distance-top:0pt;mso-wrap-distance-bottom:0pt;margin-top:0.05pt;margin-left:223.75pt">
              <v:fill opacity="0f"/>
              <v:textbox inset="0in,0in,0in,0in">
                <w:txbxContent>
                  <w:p>
                    <w:pPr>
                      <w:pStyle w:val="Style21"/>
                    </w:pPr>
                    <w:r>
                      <w:rPr/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/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3">
              <wp:simplePos x="0" y="0"/>
              <wp:positionH relativeFrom="column">
                <wp:posOffset>2841625</wp:posOffset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1"/>
                          </w:pPr>
                          <w:r>
                            <w:rPr/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roked="f" strokeweight="0pt" style="position:absolute;width:6.05pt;height:13.8pt;mso-wrap-distance-left:0pt;mso-wrap-distance-right:0pt;mso-wrap-distance-top:0pt;mso-wrap-distance-bottom:0pt;margin-top:0.05pt;margin-left:223.75pt">
              <v:fill opacity="0f"/>
              <v:textbox inset="0in,0in,0in,0in">
                <w:txbxContent>
                  <w:p>
                    <w:pPr>
                      <w:pStyle w:val="Style21"/>
                    </w:pPr>
                    <w:r>
                      <w:rPr/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/>
  </w:p>
</w:hdr>
</file>

<file path=word/settings.xml><?xml version="1.0" encoding="utf-8"?>
<w:settings xmlns:w="http://schemas.openxmlformats.org/wordprocessingml/2006/main">
  <w:zoom w:percent="100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ru-RU" w:eastAsia="ru-RU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nhideWhenUsed="0" w:uiPriority="0" w:locked="1" w:name="Normal"/>
    <w:lsdException w:qFormat="1" w:semiHidden="0" w:unhideWhenUsed="0" w:uiPriority="0" w:locked="1" w:name="heading 1"/>
    <w:lsdException w:qFormat="1" w:uiPriority="0" w:locked="1" w:name="heading 2"/>
    <w:lsdException w:qFormat="1" w:uiPriority="0" w:locked="1" w:name="heading 3"/>
    <w:lsdException w:qFormat="1" w:uiPriority="0" w:locked="1" w:name="heading 4"/>
    <w:lsdException w:qFormat="1" w:uiPriority="0" w:locked="1" w:name="heading 5"/>
    <w:lsdException w:qFormat="1" w:uiPriority="0" w:locked="1" w:name="heading 6"/>
    <w:lsdException w:qFormat="1" w:uiPriority="0" w:locked="1" w:name="heading 7"/>
    <w:lsdException w:qFormat="1" w:uiPriority="0" w:locked="1" w:name="heading 8"/>
    <w:lsdException w:qFormat="1" w:uiPriority="0" w:locked="1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semiHidden="0" w:unhideWhenUsed="0" w:uiPriority="0" w:locked="1" w:name="footer"/>
    <w:lsdException w:qFormat="1" w:uiPriority="0" w:locked="1" w:name="caption"/>
    <w:lsdException w:qFormat="1" w:semiHidden="0" w:unhideWhenUsed="0" w:uiPriority="0" w:locked="1" w:name="Title"/>
    <w:lsdException w:uiPriority="1" w:name="Default Paragraph Font"/>
    <w:lsdException w:qFormat="1" w:semiHidden="0" w:unhideWhenUsed="0" w:uiPriority="0" w:locked="1" w:name="Subtitle"/>
    <w:lsdException w:qFormat="1" w:semiHidden="0" w:unhideWhenUsed="0" w:uiPriority="0" w:locked="1" w:name="Strong"/>
    <w:lsdException w:qFormat="1" w:semiHidden="0" w:unhideWhenUsed="0" w:uiPriority="0" w:locked="1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99"/>
    <w:semiHidden/>
    <w:rPr/>
  </w:style>
  <w:style w:type="character" w:styleId="Pagenumber">
    <w:name w:val="page number"/>
    <w:basedOn w:val="DefaultParagraphFont"/>
    <w:uiPriority w:val="99"/>
    <w:rPr/>
  </w:style>
  <w:style w:type="character" w:styleId="Style14" w:customStyle="1">
    <w:name w:val="Нижний колонтитул Знак"/>
    <w:basedOn w:val="DefaultParagraphFont"/>
    <w:uiPriority w:val="99"/>
    <w:rPr>
      <w:sz w:val="24"/>
      <w:szCs w:val="24"/>
    </w:rPr>
  </w:style>
  <w:style w:type="character" w:styleId="ListLabel1" w:customStyle="1">
    <w:name w:val="ListLabel 1"/>
    <w:uiPriority w:val="99"/>
    <w:rsid w:val="00fd28d1"/>
    <w:rPr>
      <w:rFonts w:eastAsia="Times New Roman"/>
    </w:rPr>
  </w:style>
  <w:style w:type="character" w:styleId="ListLabel2" w:customStyle="1">
    <w:name w:val="ListLabel 2"/>
    <w:uiPriority w:val="99"/>
    <w:rsid w:val="00fd28d1"/>
    <w:rPr/>
  </w:style>
  <w:style w:type="character" w:styleId="BodyTextChar" w:customStyle="1">
    <w:name w:val="Body Text Char"/>
    <w:basedOn w:val="DefaultParagraphFont"/>
    <w:link w:val="BodyText"/>
    <w:uiPriority w:val="99"/>
    <w:semiHidden/>
    <w:rsid w:val="002369e0"/>
    <w:rPr>
      <w:color w:val="00000A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rsid w:val="002369e0"/>
    <w:rPr>
      <w:rFonts w:ascii="Cambria" w:hAnsi="Cambria" w:eastAsia="" w:cs="" w:asciiTheme="majorHAnsi" w:cstheme="majorBidi" w:eastAsiaTheme="majorEastAsia" w:hAnsiTheme="majorHAnsi"/>
      <w:b/>
      <w:bCs/>
      <w:color w:val="00000A"/>
      <w:sz w:val="32"/>
      <w:szCs w:val="32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369e0"/>
    <w:rPr>
      <w:color w:val="00000A"/>
      <w:sz w:val="0"/>
      <w:szCs w:val="0"/>
    </w:rPr>
  </w:style>
  <w:style w:type="character" w:styleId="HeaderChar" w:customStyle="1">
    <w:name w:val="Header Char"/>
    <w:basedOn w:val="DefaultParagraphFont"/>
    <w:link w:val="Header"/>
    <w:uiPriority w:val="99"/>
    <w:semiHidden/>
    <w:rsid w:val="002369e0"/>
    <w:rPr>
      <w:color w:val="00000A"/>
      <w:sz w:val="24"/>
      <w:szCs w:val="24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2369e0"/>
    <w:rPr>
      <w:color w:val="00000A"/>
      <w:sz w:val="24"/>
      <w:szCs w:val="24"/>
    </w:rPr>
  </w:style>
  <w:style w:type="paragraph" w:styleId="Style15" w:customStyle="1">
    <w:name w:val="Заголовок"/>
    <w:basedOn w:val="Normal"/>
    <w:next w:val="Style16"/>
    <w:uiPriority w:val="99"/>
    <w:rsid w:val="00fd28d1"/>
    <w:pPr>
      <w:keepNext/>
      <w:spacing w:before="240" w:after="120"/>
    </w:pPr>
    <w:rPr>
      <w:rFonts w:ascii="Liberation Sans" w:hAnsi="Liberation Sans" w:eastAsia="DejaVu Sans" w:cs="Liberation Sans"/>
      <w:sz w:val="28"/>
      <w:szCs w:val="28"/>
    </w:rPr>
  </w:style>
  <w:style w:type="paragraph" w:styleId="Style16">
    <w:name w:val="Основной текст"/>
    <w:basedOn w:val="Normal"/>
    <w:link w:val="BodyTextChar"/>
    <w:uiPriority w:val="99"/>
    <w:rsid w:val="00fd28d1"/>
    <w:pPr>
      <w:spacing w:lineRule="auto" w:line="288" w:before="0" w:after="140"/>
    </w:pPr>
    <w:rPr/>
  </w:style>
  <w:style w:type="paragraph" w:styleId="Style17">
    <w:name w:val="Список"/>
    <w:basedOn w:val="Style16"/>
    <w:uiPriority w:val="99"/>
    <w:rsid w:val="00fd28d1"/>
    <w:pPr/>
    <w:rPr>
      <w:rFonts w:cs="Lohit Hindi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Style19">
    <w:name w:val="Указатель"/>
    <w:basedOn w:val="Normal"/>
    <w:pPr>
      <w:suppressLineNumbers/>
    </w:pPr>
    <w:rPr>
      <w:rFonts w:cs="Lohit Hindi"/>
    </w:rPr>
  </w:style>
  <w:style w:type="paragraph" w:styleId="Style20">
    <w:name w:val="Заглавие"/>
    <w:basedOn w:val="Normal"/>
    <w:link w:val="TitleChar"/>
    <w:uiPriority w:val="99"/>
    <w:qFormat/>
    <w:rsid w:val="00fd28d1"/>
    <w:pPr>
      <w:suppressLineNumbers/>
      <w:spacing w:before="120" w:after="120"/>
      <w:jc w:val="left"/>
    </w:pPr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pPr>
      <w:ind w:left="240" w:hanging="240"/>
    </w:pPr>
    <w:rPr/>
  </w:style>
  <w:style w:type="paragraph" w:styleId="Indexheading">
    <w:name w:val="index heading"/>
    <w:basedOn w:val="Normal"/>
    <w:uiPriority w:val="99"/>
    <w:semiHidden/>
    <w:rsid w:val="00fd28d1"/>
    <w:pPr>
      <w:suppressLineNumbers/>
    </w:pPr>
    <w:rPr/>
  </w:style>
  <w:style w:type="paragraph" w:styleId="BalloonText">
    <w:name w:val="Balloon Text"/>
    <w:basedOn w:val="Normal"/>
    <w:link w:val="BalloonTextChar"/>
    <w:uiPriority w:val="99"/>
    <w:semiHidden/>
    <w:pPr/>
    <w:rPr>
      <w:rFonts w:ascii="Tahoma" w:hAnsi="Tahoma" w:cs="Tahoma"/>
      <w:sz w:val="16"/>
      <w:szCs w:val="16"/>
    </w:rPr>
  </w:style>
  <w:style w:type="paragraph" w:styleId="Style21">
    <w:name w:val="Верхний колонтитул"/>
    <w:basedOn w:val="Normal"/>
    <w:link w:val="HeaderChar"/>
    <w:uiPriority w:val="99"/>
    <w:pPr>
      <w:tabs>
        <w:tab w:val="center" w:pos="4677" w:leader="none"/>
        <w:tab w:val="right" w:pos="9355" w:leader="none"/>
      </w:tabs>
    </w:pPr>
    <w:rPr/>
  </w:style>
  <w:style w:type="paragraph" w:styleId="Style22">
    <w:name w:val="Нижний колонтитул"/>
    <w:basedOn w:val="Normal"/>
    <w:link w:val="FooterChar"/>
    <w:uiPriority w:val="99"/>
    <w:pPr>
      <w:tabs>
        <w:tab w:val="center" w:pos="4677" w:leader="none"/>
        <w:tab w:val="right" w:pos="9355" w:leader="none"/>
      </w:tabs>
    </w:pPr>
    <w:rPr/>
  </w:style>
  <w:style w:type="paragraph" w:styleId="Style23" w:customStyle="1">
    <w:name w:val="Знак"/>
    <w:basedOn w:val="Normal"/>
    <w:uiPriority w:val="99"/>
    <w:pPr>
      <w:widowControl w:val="false"/>
      <w:spacing w:lineRule="exact" w:line="240" w:before="0" w:after="160"/>
      <w:jc w:val="right"/>
    </w:pPr>
    <w:rPr>
      <w:sz w:val="20"/>
      <w:szCs w:val="20"/>
      <w:lang w:val="en-GB" w:eastAsia="en-US"/>
    </w:rPr>
  </w:style>
  <w:style w:type="paragraph" w:styleId="1" w:customStyle="1">
    <w:name w:val="Основной текст1"/>
    <w:basedOn w:val="Normal"/>
    <w:uiPriority w:val="99"/>
    <w:pPr>
      <w:jc w:val="both"/>
    </w:pPr>
    <w:rPr>
      <w:sz w:val="28"/>
      <w:szCs w:val="28"/>
    </w:rPr>
  </w:style>
  <w:style w:type="paragraph" w:styleId="ConsPlusNonformat" w:customStyle="1">
    <w:name w:val="ConsPlusNonformat"/>
    <w:uiPriority w:val="99"/>
    <w:pPr>
      <w:widowControl w:val="false"/>
      <w:suppressAutoHyphens w:val="true"/>
      <w:bidi w:val="0"/>
      <w:jc w:val="left"/>
    </w:pPr>
    <w:rPr>
      <w:rFonts w:ascii="Courier New" w:hAnsi="Courier New" w:cs="Courier New" w:eastAsia="Times New Roman"/>
      <w:color w:val="00000A"/>
      <w:sz w:val="24"/>
      <w:szCs w:val="24"/>
      <w:lang w:val="ru-RU" w:eastAsia="ru-RU" w:bidi="ar-SA"/>
    </w:rPr>
  </w:style>
  <w:style w:type="paragraph" w:styleId="ConsPlusCell" w:customStyle="1">
    <w:name w:val="ConsPlusCell"/>
    <w:uiPriority w:val="99"/>
    <w:pPr>
      <w:widowControl w:val="false"/>
      <w:suppressAutoHyphens w:val="true"/>
      <w:bidi w:val="0"/>
      <w:jc w:val="left"/>
    </w:pPr>
    <w:rPr>
      <w:rFonts w:ascii="Arial" w:hAnsi="Arial" w:cs="Arial" w:eastAsia="Times New Roman"/>
      <w:color w:val="00000A"/>
      <w:sz w:val="24"/>
      <w:szCs w:val="24"/>
      <w:lang w:val="ru-RU" w:eastAsia="ru-RU" w:bidi="ar-SA"/>
    </w:rPr>
  </w:style>
  <w:style w:type="paragraph" w:styleId="11" w:customStyle="1">
    <w:name w:val="Обычный1"/>
    <w:uiPriority w:val="99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ConsNonformat" w:customStyle="1">
    <w:name w:val="ConsNonformat"/>
    <w:uiPriority w:val="99"/>
    <w:pPr>
      <w:widowControl w:val="false"/>
      <w:suppressAutoHyphens w:val="true"/>
      <w:bidi w:val="0"/>
      <w:ind w:right="19772" w:hanging="0"/>
      <w:jc w:val="left"/>
    </w:pPr>
    <w:rPr>
      <w:rFonts w:ascii="Courier New" w:hAnsi="Courier New" w:cs="Courier New" w:eastAsia="Times New Roman"/>
      <w:color w:val="00000A"/>
      <w:sz w:val="24"/>
      <w:szCs w:val="24"/>
      <w:lang w:val="ru-RU" w:eastAsia="ru-RU" w:bidi="ar-SA"/>
    </w:rPr>
  </w:style>
  <w:style w:type="paragraph" w:styleId="ConsCell" w:customStyle="1">
    <w:name w:val="ConsCell"/>
    <w:uiPriority w:val="99"/>
    <w:pPr>
      <w:widowControl w:val="false"/>
      <w:suppressAutoHyphens w:val="true"/>
      <w:bidi w:val="0"/>
      <w:ind w:right="19772" w:hanging="0"/>
      <w:jc w:val="left"/>
    </w:pPr>
    <w:rPr>
      <w:rFonts w:ascii="Arial" w:hAnsi="Arial" w:cs="Arial" w:eastAsia="Times New Roman"/>
      <w:color w:val="00000A"/>
      <w:sz w:val="24"/>
      <w:szCs w:val="24"/>
      <w:lang w:val="ru-RU" w:eastAsia="ru-RU" w:bidi="ar-SA"/>
    </w:rPr>
  </w:style>
  <w:style w:type="paragraph" w:styleId="ConsPlusNormal" w:customStyle="1">
    <w:name w:val="ConsPlusNormal"/>
    <w:uiPriority w:val="99"/>
    <w:pPr>
      <w:widowControl w:val="false"/>
      <w:suppressAutoHyphens w:val="true"/>
      <w:bidi w:val="0"/>
      <w:ind w:firstLine="720"/>
      <w:jc w:val="left"/>
    </w:pPr>
    <w:rPr>
      <w:rFonts w:ascii="Arial" w:hAnsi="Arial" w:cs="Arial" w:eastAsia="Times New Roman"/>
      <w:color w:val="00000A"/>
      <w:sz w:val="24"/>
      <w:szCs w:val="24"/>
      <w:lang w:val="ru-RU" w:eastAsia="ru-RU" w:bidi="ar-SA"/>
    </w:rPr>
  </w:style>
  <w:style w:type="paragraph" w:styleId="ConsPlusTitle" w:customStyle="1">
    <w:name w:val="ConsPlusTitle"/>
    <w:uiPriority w:val="99"/>
    <w:pPr>
      <w:widowControl w:val="false"/>
      <w:suppressAutoHyphens w:val="true"/>
      <w:bidi w:val="0"/>
      <w:jc w:val="left"/>
    </w:pPr>
    <w:rPr>
      <w:rFonts w:ascii="Arial" w:hAnsi="Arial" w:cs="Arial" w:eastAsia="Times New Roman"/>
      <w:b/>
      <w:bCs/>
      <w:color w:val="00000A"/>
      <w:sz w:val="24"/>
      <w:szCs w:val="24"/>
      <w:lang w:val="ru-RU" w:eastAsia="ru-RU" w:bidi="ar-SA"/>
    </w:rPr>
  </w:style>
  <w:style w:type="paragraph" w:styleId="12" w:customStyle="1">
    <w:name w:val="Знак1"/>
    <w:basedOn w:val="Normal"/>
    <w:uiPriority w:val="99"/>
    <w:pPr>
      <w:widowControl w:val="false"/>
      <w:spacing w:lineRule="exact" w:line="240" w:before="0" w:after="160"/>
      <w:jc w:val="right"/>
    </w:pPr>
    <w:rPr>
      <w:sz w:val="20"/>
      <w:szCs w:val="20"/>
      <w:lang w:val="en-GB" w:eastAsia="en-US"/>
    </w:rPr>
  </w:style>
  <w:style w:type="paragraph" w:styleId="ListParagraph">
    <w:name w:val="List Paragraph"/>
    <w:basedOn w:val="Normal"/>
    <w:uiPriority w:val="99"/>
    <w:qFormat/>
    <w:pPr>
      <w:ind w:left="720" w:hanging="0"/>
    </w:pPr>
    <w:rPr/>
  </w:style>
  <w:style w:type="paragraph" w:styleId="Style24" w:customStyle="1">
    <w:name w:val="Содержимое врезки"/>
    <w:basedOn w:val="Normal"/>
    <w:uiPriority w:val="99"/>
    <w:rsid w:val="00fd28d1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pPr>
      <w:jc w:val="both"/>
    </w:pPr>
    <w:rPr>
      <w:sz w:val="20"/>
      <w:szCs w:val="20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116</TotalTime>
  <Application>LibreOffice/4.3.0.4$Linux_x86 LibreOffice_project/62ad5818884a2fc2e5780dd45466868d41009ec0</Application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2015-04-17T11:19:00Z</dcterms:created>
  <dc:creator>zaitseva</dc:creator>
  <dc:language>ru-RU</dc:language>
  <cp:lastPrinted>2015-04-26T19:45:32Z</cp:lastPrinted>
  <dcterms:modified xsi:type="dcterms:W3CDTF">2015-04-26T19:46:10Z</dcterms:modified>
  <cp:revision>8</cp:revision>
  <dc:title>Приложение № 1</dc:title>
</cp:coreProperties>
</file>